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263347EB" w:rsidR="00510AAC" w:rsidRPr="00C1779F" w:rsidRDefault="00136BBE">
      <w:pPr>
        <w:rPr>
          <w:sz w:val="22"/>
          <w:szCs w:val="22"/>
        </w:rPr>
      </w:pPr>
      <w:bookmarkStart w:id="0" w:name="OLE_LINK29"/>
      <w:bookmarkStart w:id="1" w:name="OLE_LINK5"/>
      <w:bookmarkStart w:id="2" w:name="OLE_LINK6"/>
      <w:bookmarkStart w:id="3" w:name="OLE_LINK30"/>
      <w:bookmarkStart w:id="4" w:name="OLE_LINK31"/>
      <w:r>
        <w:rPr>
          <w:sz w:val="22"/>
          <w:szCs w:val="22"/>
        </w:rPr>
        <w:t xml:space="preserve"> </w:t>
      </w:r>
    </w:p>
    <w:p w14:paraId="1ABF9C5E" w14:textId="77777777" w:rsidR="00C26891" w:rsidRDefault="00887FF9" w:rsidP="00887FF9">
      <w:pPr>
        <w:pStyle w:val="16"/>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C26891">
        <w:rPr>
          <w:rFonts w:ascii="Times New Roman" w:eastAsia="Times New Roman" w:hAnsi="Times New Roman" w:cs="Times New Roman"/>
          <w:sz w:val="24"/>
          <w:szCs w:val="24"/>
        </w:rPr>
        <w:t>5</w:t>
      </w:r>
      <w:r w:rsidRPr="00887FF9">
        <w:rPr>
          <w:rFonts w:ascii="Times New Roman" w:eastAsia="Times New Roman" w:hAnsi="Times New Roman" w:cs="Times New Roman"/>
          <w:sz w:val="24"/>
          <w:szCs w:val="24"/>
        </w:rPr>
        <w:t xml:space="preserve"> к </w:t>
      </w:r>
      <w:r w:rsidR="00C26891">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242B1C17" w14:textId="606B9853"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24E160BE" w14:textId="0EC17CF0"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72049D">
        <w:rPr>
          <w:rFonts w:ascii="Times New Roman" w:eastAsia="Times New Roman" w:hAnsi="Times New Roman" w:cs="Times New Roman"/>
          <w:sz w:val="24"/>
          <w:szCs w:val="24"/>
        </w:rPr>
        <w:t>16.06</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w:t>
      </w:r>
      <w:r w:rsidR="008B63F4">
        <w:rPr>
          <w:rFonts w:ascii="Times New Roman" w:eastAsia="Times New Roman" w:hAnsi="Times New Roman" w:cs="Times New Roman"/>
          <w:sz w:val="24"/>
          <w:szCs w:val="24"/>
        </w:rPr>
        <w:t xml:space="preserve"> </w:t>
      </w:r>
      <w:r w:rsidR="00C26891">
        <w:rPr>
          <w:rFonts w:ascii="Times New Roman" w:eastAsia="Times New Roman" w:hAnsi="Times New Roman" w:cs="Times New Roman"/>
          <w:sz w:val="24"/>
          <w:szCs w:val="24"/>
        </w:rPr>
        <w:t>59</w:t>
      </w:r>
    </w:p>
    <w:bookmarkEnd w:id="5"/>
    <w:bookmarkEnd w:id="6"/>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46E3E29A" w14:textId="77777777" w:rsidR="00C26891" w:rsidRPr="00887FF9" w:rsidRDefault="00C26891" w:rsidP="00C26891">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F78FC8C" w14:textId="77777777" w:rsidR="00C26891" w:rsidRDefault="00C26891" w:rsidP="00C26891">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16.06</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514</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29"/>
        <w:gridCol w:w="959"/>
        <w:gridCol w:w="1357"/>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7"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3867CBB6" w:rsidR="00B31116" w:rsidRPr="0064171D" w:rsidRDefault="00B31116" w:rsidP="00926A78">
            <w:pPr>
              <w:jc w:val="right"/>
              <w:rPr>
                <w:sz w:val="24"/>
                <w:szCs w:val="24"/>
              </w:rPr>
            </w:pP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50F1971C" w:rsidR="00B31116" w:rsidRPr="0064171D" w:rsidRDefault="00625B6C" w:rsidP="001A0BEE">
            <w:pPr>
              <w:jc w:val="center"/>
              <w:rPr>
                <w:b/>
                <w:sz w:val="24"/>
                <w:szCs w:val="24"/>
              </w:rPr>
            </w:pPr>
            <w:r w:rsidRPr="0064171D">
              <w:rPr>
                <w:b/>
                <w:sz w:val="24"/>
                <w:szCs w:val="24"/>
              </w:rPr>
              <w:t>П</w:t>
            </w:r>
            <w:r w:rsidR="00B31116" w:rsidRPr="0064171D">
              <w:rPr>
                <w:b/>
                <w:sz w:val="24"/>
                <w:szCs w:val="24"/>
              </w:rPr>
              <w:t>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0CA1642B" w:rsidR="00B31116" w:rsidRPr="0064171D" w:rsidRDefault="00191603" w:rsidP="001A0BEE">
            <w:pPr>
              <w:jc w:val="center"/>
              <w:rPr>
                <w:b/>
                <w:bCs/>
                <w:sz w:val="24"/>
                <w:szCs w:val="24"/>
              </w:rPr>
            </w:pPr>
            <w:r>
              <w:rPr>
                <w:b/>
                <w:bCs/>
                <w:sz w:val="24"/>
                <w:szCs w:val="24"/>
              </w:rPr>
              <w:t>3895,98</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7D705100" w:rsidR="00B31116" w:rsidRPr="0064171D" w:rsidRDefault="00191603" w:rsidP="001A0BEE">
            <w:pPr>
              <w:jc w:val="center"/>
              <w:rPr>
                <w:b/>
                <w:bCs/>
                <w:sz w:val="24"/>
                <w:szCs w:val="24"/>
              </w:rPr>
            </w:pPr>
            <w:r>
              <w:rPr>
                <w:b/>
                <w:bCs/>
                <w:sz w:val="24"/>
                <w:szCs w:val="24"/>
              </w:rPr>
              <w:t>3769,58</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13791797" w:rsidR="00B31116" w:rsidRPr="0064171D" w:rsidRDefault="00191603" w:rsidP="001A0BEE">
            <w:pPr>
              <w:jc w:val="center"/>
              <w:rPr>
                <w:sz w:val="24"/>
                <w:szCs w:val="24"/>
              </w:rPr>
            </w:pPr>
            <w:r>
              <w:rPr>
                <w:sz w:val="24"/>
                <w:szCs w:val="24"/>
              </w:rPr>
              <w:t>3653,58</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576F216E" w:rsidR="00B31116" w:rsidRPr="0064171D" w:rsidRDefault="00191603" w:rsidP="001A0BEE">
            <w:pPr>
              <w:jc w:val="center"/>
              <w:rPr>
                <w:sz w:val="24"/>
                <w:szCs w:val="24"/>
              </w:rPr>
            </w:pPr>
            <w:r>
              <w:rPr>
                <w:sz w:val="24"/>
                <w:szCs w:val="24"/>
              </w:rPr>
              <w:t>3653,58</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t xml:space="preserve">Депутаты Совета депутатов внутригородского муниципального </w:t>
            </w:r>
            <w:r w:rsidRPr="0064171D">
              <w:rPr>
                <w:sz w:val="24"/>
                <w:szCs w:val="24"/>
              </w:rPr>
              <w:lastRenderedPageBreak/>
              <w:t>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lastRenderedPageBreak/>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025BB4D5" w:rsidR="00B31116" w:rsidRPr="0064171D" w:rsidRDefault="00AE2DC0" w:rsidP="001A0BEE">
            <w:pPr>
              <w:jc w:val="center"/>
              <w:rPr>
                <w:b/>
                <w:bCs/>
                <w:color w:val="000000" w:themeColor="text1"/>
                <w:sz w:val="24"/>
                <w:szCs w:val="24"/>
              </w:rPr>
            </w:pPr>
            <w:r>
              <w:rPr>
                <w:b/>
                <w:bCs/>
                <w:color w:val="000000" w:themeColor="text1"/>
                <w:sz w:val="24"/>
                <w:szCs w:val="24"/>
              </w:rPr>
              <w:t>23377,00</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381664BA" w:rsidR="00B31116" w:rsidRPr="0064171D" w:rsidRDefault="00AE2DC0" w:rsidP="001A0BEE">
            <w:pPr>
              <w:jc w:val="center"/>
              <w:rPr>
                <w:b/>
                <w:bCs/>
                <w:sz w:val="24"/>
                <w:szCs w:val="24"/>
              </w:rPr>
            </w:pPr>
            <w:r>
              <w:rPr>
                <w:b/>
                <w:bCs/>
                <w:sz w:val="24"/>
                <w:szCs w:val="24"/>
              </w:rPr>
              <w:t>22755,10</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0BF6316F" w:rsidR="00B31116" w:rsidRPr="0064171D" w:rsidRDefault="00AE2DC0" w:rsidP="001A0BEE">
            <w:pPr>
              <w:jc w:val="center"/>
              <w:rPr>
                <w:b/>
                <w:bCs/>
                <w:sz w:val="24"/>
                <w:szCs w:val="24"/>
              </w:rPr>
            </w:pPr>
            <w:r>
              <w:rPr>
                <w:b/>
                <w:bCs/>
                <w:sz w:val="24"/>
                <w:szCs w:val="24"/>
              </w:rPr>
              <w:t>17248,92</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37B25A02" w:rsidR="00B31116" w:rsidRPr="0064171D" w:rsidRDefault="00AE2DC0" w:rsidP="001A0BEE">
            <w:pPr>
              <w:jc w:val="center"/>
              <w:rPr>
                <w:sz w:val="24"/>
                <w:szCs w:val="24"/>
              </w:rPr>
            </w:pPr>
            <w:r>
              <w:rPr>
                <w:sz w:val="24"/>
                <w:szCs w:val="24"/>
              </w:rPr>
              <w:t>17248,92</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12D787E0" w:rsidR="00B31116" w:rsidRPr="0064171D" w:rsidRDefault="00C4235D" w:rsidP="001A0BEE">
            <w:pPr>
              <w:jc w:val="center"/>
              <w:rPr>
                <w:b/>
                <w:bCs/>
                <w:sz w:val="24"/>
                <w:szCs w:val="24"/>
              </w:rPr>
            </w:pPr>
            <w:r>
              <w:rPr>
                <w:b/>
                <w:bCs/>
                <w:sz w:val="24"/>
                <w:szCs w:val="24"/>
              </w:rPr>
              <w:t>5506,18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7FD558AB" w:rsidR="00B31116" w:rsidRPr="0064171D" w:rsidRDefault="00C4235D" w:rsidP="001A0BEE">
            <w:pPr>
              <w:jc w:val="center"/>
              <w:rPr>
                <w:sz w:val="24"/>
                <w:szCs w:val="24"/>
              </w:rPr>
            </w:pPr>
            <w:r>
              <w:rPr>
                <w:sz w:val="24"/>
                <w:szCs w:val="24"/>
              </w:rPr>
              <w:t>5506,18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01FA1772" w:rsidR="00B31116" w:rsidRPr="00683C94" w:rsidRDefault="003631C6" w:rsidP="001A0BEE">
            <w:pPr>
              <w:jc w:val="center"/>
              <w:rPr>
                <w:b/>
                <w:bCs/>
                <w:sz w:val="24"/>
                <w:szCs w:val="24"/>
              </w:rPr>
            </w:pPr>
            <w:r w:rsidRPr="00683C94">
              <w:rPr>
                <w:b/>
                <w:bCs/>
                <w:sz w:val="24"/>
                <w:szCs w:val="24"/>
              </w:rPr>
              <w:t>4</w:t>
            </w:r>
            <w:r w:rsidR="00B31116" w:rsidRPr="00683C94">
              <w:rPr>
                <w:b/>
                <w:bCs/>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14C38567" w:rsidR="00B31116" w:rsidRPr="0064171D" w:rsidRDefault="00B31116" w:rsidP="001A0BEE">
            <w:pPr>
              <w:jc w:val="center"/>
              <w:rPr>
                <w:sz w:val="24"/>
                <w:szCs w:val="24"/>
              </w:rPr>
            </w:pPr>
            <w:r w:rsidRPr="0064171D">
              <w:rPr>
                <w:sz w:val="24"/>
                <w:szCs w:val="24"/>
              </w:rPr>
              <w:t>85</w:t>
            </w:r>
            <w:r w:rsidR="003631C6">
              <w:rPr>
                <w:sz w:val="24"/>
                <w:szCs w:val="24"/>
              </w:rPr>
              <w:t>3</w:t>
            </w:r>
          </w:p>
        </w:tc>
        <w:tc>
          <w:tcPr>
            <w:tcW w:w="1276" w:type="dxa"/>
            <w:tcBorders>
              <w:top w:val="nil"/>
              <w:left w:val="nil"/>
              <w:bottom w:val="single" w:sz="4" w:space="0" w:color="auto"/>
              <w:right w:val="single" w:sz="4" w:space="0" w:color="auto"/>
            </w:tcBorders>
            <w:shd w:val="clear" w:color="auto" w:fill="auto"/>
            <w:hideMark/>
          </w:tcPr>
          <w:p w14:paraId="7EC93A61" w14:textId="2BE16C07" w:rsidR="00B31116" w:rsidRPr="0064171D" w:rsidRDefault="003631C6" w:rsidP="001A0BEE">
            <w:pPr>
              <w:jc w:val="center"/>
              <w:rPr>
                <w:sz w:val="24"/>
                <w:szCs w:val="24"/>
              </w:rPr>
            </w:pPr>
            <w:r>
              <w:rPr>
                <w:sz w:val="24"/>
                <w:szCs w:val="24"/>
              </w:rPr>
              <w:t>4</w:t>
            </w:r>
            <w:r w:rsidR="00B31116"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lastRenderedPageBreak/>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22413091"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0BD54512" w:rsidR="00B31116" w:rsidRPr="00A46F73" w:rsidRDefault="00B31116" w:rsidP="001A0BEE">
            <w:pPr>
              <w:jc w:val="center"/>
              <w:rPr>
                <w:sz w:val="24"/>
                <w:szCs w:val="24"/>
                <w:lang w:val="en-US"/>
              </w:rPr>
            </w:pPr>
            <w:r w:rsidRPr="0064171D">
              <w:rPr>
                <w:sz w:val="24"/>
                <w:szCs w:val="24"/>
              </w:rPr>
              <w:t>85</w:t>
            </w:r>
            <w:r w:rsidR="00A46F73">
              <w:rPr>
                <w:sz w:val="24"/>
                <w:szCs w:val="24"/>
                <w:lang w:val="en-US"/>
              </w:rPr>
              <w:t>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6B9A2013" w:rsidR="00B31116" w:rsidRPr="0064171D" w:rsidRDefault="00C07B15" w:rsidP="001A0BEE">
            <w:pPr>
              <w:jc w:val="center"/>
              <w:rPr>
                <w:b/>
                <w:sz w:val="24"/>
                <w:szCs w:val="24"/>
              </w:rPr>
            </w:pPr>
            <w:r>
              <w:rPr>
                <w:b/>
                <w:sz w:val="24"/>
                <w:szCs w:val="24"/>
              </w:rPr>
              <w:t>39310,63</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CB66EEF" w14:textId="77777777" w:rsidR="00926A78" w:rsidRDefault="00926A78">
      <w:pPr>
        <w:rPr>
          <w:color w:val="000000"/>
          <w:sz w:val="24"/>
          <w:szCs w:val="24"/>
        </w:rPr>
      </w:pPr>
      <w:r>
        <w:rPr>
          <w:sz w:val="24"/>
          <w:szCs w:val="24"/>
        </w:rPr>
        <w:br w:type="page"/>
      </w:r>
    </w:p>
    <w:p w14:paraId="4671F734" w14:textId="00FEDECF"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625B6C">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32AD6972"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C7156F">
        <w:rPr>
          <w:rFonts w:ascii="Times New Roman" w:eastAsia="Times New Roman" w:hAnsi="Times New Roman" w:cs="Times New Roman"/>
          <w:sz w:val="24"/>
          <w:szCs w:val="24"/>
        </w:rPr>
        <w:t>16.06</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926A78">
        <w:rPr>
          <w:rFonts w:ascii="Times New Roman" w:eastAsia="Times New Roman" w:hAnsi="Times New Roman" w:cs="Times New Roman"/>
          <w:sz w:val="24"/>
          <w:szCs w:val="24"/>
        </w:rPr>
        <w:t>514</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7"/>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1E30674C"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w:t>
      </w:r>
      <w:r w:rsidR="008036A1">
        <w:rPr>
          <w:b/>
          <w:sz w:val="26"/>
          <w:szCs w:val="26"/>
        </w:rPr>
        <w:t>2</w:t>
      </w:r>
      <w:r w:rsidR="00D03644" w:rsidRPr="0025790D">
        <w:rPr>
          <w:b/>
          <w:sz w:val="26"/>
          <w:szCs w:val="26"/>
        </w:rPr>
        <w:t xml:space="preserve"> год и плановый период 202</w:t>
      </w:r>
      <w:r w:rsidR="008036A1">
        <w:rPr>
          <w:b/>
          <w:sz w:val="26"/>
          <w:szCs w:val="26"/>
        </w:rPr>
        <w:t>3</w:t>
      </w:r>
      <w:r w:rsidR="00D03644" w:rsidRPr="0025790D">
        <w:rPr>
          <w:b/>
          <w:sz w:val="26"/>
          <w:szCs w:val="26"/>
        </w:rPr>
        <w:t xml:space="preserve"> и 202</w:t>
      </w:r>
      <w:r w:rsidR="008036A1">
        <w:rPr>
          <w:b/>
          <w:sz w:val="26"/>
          <w:szCs w:val="26"/>
        </w:rPr>
        <w:t>4</w:t>
      </w:r>
      <w:r w:rsidR="00D03644" w:rsidRPr="0025790D">
        <w:rPr>
          <w:b/>
          <w:sz w:val="26"/>
          <w:szCs w:val="26"/>
        </w:rPr>
        <w:t xml:space="preserve"> годов</w:t>
      </w:r>
    </w:p>
    <w:p w14:paraId="1075A1E8" w14:textId="77777777" w:rsidR="00926A78" w:rsidRDefault="00926A78"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42C7B877" w:rsidR="00B7579D" w:rsidRPr="0000767E" w:rsidRDefault="00B7579D" w:rsidP="00926A78">
            <w:pPr>
              <w:autoSpaceDE w:val="0"/>
              <w:autoSpaceDN w:val="0"/>
              <w:adjustRightInd w:val="0"/>
              <w:jc w:val="center"/>
              <w:rPr>
                <w:b/>
                <w:color w:val="000000"/>
                <w:sz w:val="24"/>
                <w:szCs w:val="24"/>
              </w:rPr>
            </w:pPr>
            <w:r w:rsidRPr="0000767E">
              <w:rPr>
                <w:b/>
                <w:color w:val="000000"/>
                <w:sz w:val="24"/>
                <w:szCs w:val="24"/>
              </w:rPr>
              <w:t>2022 год</w:t>
            </w:r>
            <w:r w:rsidR="00C33D90" w:rsidRPr="00C33D90">
              <w:rPr>
                <w:color w:val="000000"/>
                <w:sz w:val="24"/>
                <w:szCs w:val="24"/>
              </w:rPr>
              <w:t>,</w:t>
            </w:r>
            <w:r w:rsidR="00926A78">
              <w:rPr>
                <w:b/>
                <w:color w:val="000000"/>
                <w:sz w:val="24"/>
                <w:szCs w:val="24"/>
              </w:rPr>
              <w:br/>
            </w:r>
            <w:proofErr w:type="spellStart"/>
            <w:r w:rsidR="00926A78" w:rsidRPr="00926A78">
              <w:rPr>
                <w:color w:val="000000"/>
                <w:sz w:val="24"/>
                <w:szCs w:val="24"/>
              </w:rPr>
              <w:t>тыс.руб</w:t>
            </w:r>
            <w:proofErr w:type="spellEnd"/>
            <w:r w:rsidR="00926A78" w:rsidRPr="00926A78">
              <w:rPr>
                <w:color w:val="000000"/>
                <w:sz w:val="24"/>
                <w:szCs w:val="24"/>
              </w:rPr>
              <w:t>.</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926A78">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926A78">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60B8EBB8" w:rsidR="00B7579D" w:rsidRPr="0000767E" w:rsidRDefault="00F57959" w:rsidP="00926A78">
            <w:pPr>
              <w:autoSpaceDE w:val="0"/>
              <w:autoSpaceDN w:val="0"/>
              <w:adjustRightInd w:val="0"/>
              <w:jc w:val="center"/>
              <w:rPr>
                <w:color w:val="000000"/>
                <w:sz w:val="24"/>
                <w:szCs w:val="24"/>
              </w:rPr>
            </w:pPr>
            <w:r>
              <w:rPr>
                <w:color w:val="000000"/>
                <w:sz w:val="24"/>
                <w:szCs w:val="24"/>
              </w:rPr>
              <w:t>39310,63</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926A78">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5B70573D" w:rsidR="00B7579D" w:rsidRPr="0000767E" w:rsidRDefault="00675A2F" w:rsidP="00926A78">
            <w:pPr>
              <w:autoSpaceDE w:val="0"/>
              <w:autoSpaceDN w:val="0"/>
              <w:adjustRightInd w:val="0"/>
              <w:jc w:val="center"/>
              <w:rPr>
                <w:b/>
                <w:bCs/>
                <w:color w:val="000000"/>
                <w:sz w:val="24"/>
                <w:szCs w:val="24"/>
              </w:rPr>
            </w:pPr>
            <w:r>
              <w:rPr>
                <w:b/>
                <w:bCs/>
                <w:color w:val="000000"/>
                <w:sz w:val="24"/>
                <w:szCs w:val="24"/>
              </w:rPr>
              <w:t>3895,98</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509A4E3F" w:rsidR="00B7579D" w:rsidRPr="00675A2F" w:rsidRDefault="00675A2F" w:rsidP="00926A78">
            <w:pPr>
              <w:autoSpaceDE w:val="0"/>
              <w:autoSpaceDN w:val="0"/>
              <w:adjustRightInd w:val="0"/>
              <w:jc w:val="center"/>
              <w:rPr>
                <w:b/>
                <w:bCs/>
                <w:color w:val="000000"/>
                <w:sz w:val="24"/>
                <w:szCs w:val="24"/>
              </w:rPr>
            </w:pPr>
            <w:r w:rsidRPr="00675A2F">
              <w:rPr>
                <w:b/>
                <w:bCs/>
                <w:color w:val="000000"/>
                <w:sz w:val="24"/>
                <w:szCs w:val="24"/>
              </w:rPr>
              <w:t>3768,58</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37F494AB" w:rsidR="00B7579D" w:rsidRPr="0000767E" w:rsidRDefault="00675A2F" w:rsidP="00926A78">
            <w:pPr>
              <w:autoSpaceDE w:val="0"/>
              <w:autoSpaceDN w:val="0"/>
              <w:adjustRightInd w:val="0"/>
              <w:jc w:val="center"/>
              <w:rPr>
                <w:color w:val="000000"/>
                <w:sz w:val="24"/>
                <w:szCs w:val="24"/>
              </w:rPr>
            </w:pPr>
            <w:r>
              <w:rPr>
                <w:color w:val="000000"/>
                <w:sz w:val="24"/>
                <w:szCs w:val="24"/>
              </w:rPr>
              <w:t>3653,58</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6D0004B2" w:rsidR="00B7579D" w:rsidRPr="0000767E" w:rsidRDefault="00675A2F" w:rsidP="00926A78">
            <w:pPr>
              <w:autoSpaceDE w:val="0"/>
              <w:autoSpaceDN w:val="0"/>
              <w:adjustRightInd w:val="0"/>
              <w:jc w:val="center"/>
              <w:rPr>
                <w:color w:val="000000"/>
                <w:sz w:val="24"/>
                <w:szCs w:val="24"/>
              </w:rPr>
            </w:pPr>
            <w:r>
              <w:rPr>
                <w:color w:val="000000"/>
                <w:sz w:val="24"/>
                <w:szCs w:val="24"/>
              </w:rPr>
              <w:t>3653,58</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 xml:space="preserve">Функционирование законодательных (представительных) органов государственной власти и представительных органов </w:t>
            </w:r>
            <w:r w:rsidRPr="0000767E">
              <w:rPr>
                <w:b/>
                <w:bCs/>
                <w:color w:val="000000"/>
                <w:sz w:val="24"/>
                <w:szCs w:val="24"/>
              </w:rPr>
              <w:lastRenderedPageBreak/>
              <w:t>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926A78">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926A78">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926A78">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3754F6B0" w:rsidR="00B7579D" w:rsidRPr="0000767E" w:rsidRDefault="00675A2F" w:rsidP="00926A78">
            <w:pPr>
              <w:autoSpaceDE w:val="0"/>
              <w:autoSpaceDN w:val="0"/>
              <w:adjustRightInd w:val="0"/>
              <w:jc w:val="center"/>
              <w:rPr>
                <w:b/>
                <w:bCs/>
                <w:color w:val="000000"/>
                <w:sz w:val="24"/>
                <w:szCs w:val="24"/>
              </w:rPr>
            </w:pPr>
            <w:r>
              <w:rPr>
                <w:b/>
                <w:bCs/>
                <w:color w:val="000000"/>
                <w:sz w:val="24"/>
                <w:szCs w:val="24"/>
              </w:rPr>
              <w:t>23377,00</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0C105D20" w:rsidR="00B7579D" w:rsidRPr="0000767E" w:rsidRDefault="00675A2F" w:rsidP="00926A78">
            <w:pPr>
              <w:autoSpaceDE w:val="0"/>
              <w:autoSpaceDN w:val="0"/>
              <w:adjustRightInd w:val="0"/>
              <w:jc w:val="center"/>
              <w:rPr>
                <w:color w:val="000000"/>
                <w:sz w:val="24"/>
                <w:szCs w:val="24"/>
              </w:rPr>
            </w:pPr>
            <w:r>
              <w:rPr>
                <w:color w:val="000000"/>
                <w:sz w:val="24"/>
                <w:szCs w:val="24"/>
              </w:rPr>
              <w:t>22755,10</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50F790B3" w:rsidR="00B7579D" w:rsidRPr="0000767E" w:rsidRDefault="00675A2F" w:rsidP="00926A78">
            <w:pPr>
              <w:autoSpaceDE w:val="0"/>
              <w:autoSpaceDN w:val="0"/>
              <w:adjustRightInd w:val="0"/>
              <w:jc w:val="center"/>
              <w:rPr>
                <w:color w:val="000000"/>
                <w:sz w:val="24"/>
                <w:szCs w:val="24"/>
              </w:rPr>
            </w:pPr>
            <w:r>
              <w:rPr>
                <w:color w:val="000000"/>
                <w:sz w:val="24"/>
                <w:szCs w:val="24"/>
              </w:rPr>
              <w:t>17248,92</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081F3425" w:rsidR="00B7579D" w:rsidRPr="0000767E" w:rsidRDefault="00675A2F" w:rsidP="00926A78">
            <w:pPr>
              <w:autoSpaceDE w:val="0"/>
              <w:autoSpaceDN w:val="0"/>
              <w:adjustRightInd w:val="0"/>
              <w:jc w:val="center"/>
              <w:rPr>
                <w:color w:val="000000"/>
                <w:sz w:val="24"/>
                <w:szCs w:val="24"/>
              </w:rPr>
            </w:pPr>
            <w:r>
              <w:rPr>
                <w:color w:val="000000"/>
                <w:sz w:val="24"/>
                <w:szCs w:val="24"/>
              </w:rPr>
              <w:t>17248,92</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A465A70" w:rsidR="00B7579D" w:rsidRPr="0000767E" w:rsidRDefault="00DF60AC" w:rsidP="00926A78">
            <w:pPr>
              <w:autoSpaceDE w:val="0"/>
              <w:autoSpaceDN w:val="0"/>
              <w:adjustRightInd w:val="0"/>
              <w:jc w:val="center"/>
              <w:rPr>
                <w:color w:val="000000"/>
                <w:sz w:val="24"/>
                <w:szCs w:val="24"/>
              </w:rPr>
            </w:pPr>
            <w:r>
              <w:rPr>
                <w:color w:val="000000"/>
                <w:sz w:val="24"/>
                <w:szCs w:val="24"/>
              </w:rPr>
              <w:t>5506,18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6987688F" w:rsidR="00B7579D" w:rsidRPr="0000767E" w:rsidRDefault="00DF60AC" w:rsidP="00926A78">
            <w:pPr>
              <w:autoSpaceDE w:val="0"/>
              <w:autoSpaceDN w:val="0"/>
              <w:adjustRightInd w:val="0"/>
              <w:jc w:val="center"/>
              <w:rPr>
                <w:color w:val="000000"/>
                <w:sz w:val="24"/>
                <w:szCs w:val="24"/>
              </w:rPr>
            </w:pPr>
            <w:r>
              <w:rPr>
                <w:color w:val="000000"/>
                <w:sz w:val="24"/>
                <w:szCs w:val="24"/>
              </w:rPr>
              <w:t>5506,18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310E1BCC" w:rsidR="00B7579D" w:rsidRPr="0000767E" w:rsidRDefault="009151E6" w:rsidP="00926A78">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1E35D5DE"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85</w:t>
            </w:r>
            <w:r w:rsidR="009151E6">
              <w:rPr>
                <w:color w:val="000000"/>
                <w:sz w:val="24"/>
                <w:szCs w:val="24"/>
              </w:rPr>
              <w:t>3</w:t>
            </w:r>
          </w:p>
        </w:tc>
        <w:tc>
          <w:tcPr>
            <w:tcW w:w="1156" w:type="dxa"/>
            <w:tcBorders>
              <w:top w:val="single" w:sz="4" w:space="0" w:color="auto"/>
              <w:left w:val="single" w:sz="4" w:space="0" w:color="auto"/>
              <w:bottom w:val="single" w:sz="4" w:space="0" w:color="auto"/>
              <w:right w:val="single" w:sz="4" w:space="0" w:color="auto"/>
            </w:tcBorders>
          </w:tcPr>
          <w:p w14:paraId="199E3B06" w14:textId="125A662A" w:rsidR="00B7579D" w:rsidRPr="0000767E" w:rsidRDefault="009151E6" w:rsidP="00926A78">
            <w:pPr>
              <w:autoSpaceDE w:val="0"/>
              <w:autoSpaceDN w:val="0"/>
              <w:adjustRightInd w:val="0"/>
              <w:jc w:val="center"/>
              <w:rPr>
                <w:color w:val="000000"/>
                <w:sz w:val="24"/>
                <w:szCs w:val="24"/>
              </w:rPr>
            </w:pPr>
            <w:r>
              <w:rPr>
                <w:color w:val="000000"/>
                <w:sz w:val="24"/>
                <w:szCs w:val="24"/>
              </w:rPr>
              <w:t>4</w:t>
            </w:r>
            <w:r w:rsidR="00B7579D"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926A78">
            <w:pPr>
              <w:jc w:val="center"/>
              <w:rPr>
                <w:color w:val="000000"/>
                <w:sz w:val="24"/>
                <w:szCs w:val="24"/>
              </w:rPr>
            </w:pPr>
            <w:r w:rsidRPr="0000767E">
              <w:rPr>
                <w:color w:val="000000"/>
                <w:sz w:val="24"/>
                <w:szCs w:val="24"/>
              </w:rPr>
              <w:t>900</w:t>
            </w:r>
          </w:p>
          <w:p w14:paraId="51A25D21" w14:textId="77777777" w:rsidR="00B7579D" w:rsidRPr="0000767E" w:rsidRDefault="00B7579D" w:rsidP="00926A78">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926A78">
            <w:pPr>
              <w:jc w:val="center"/>
              <w:rPr>
                <w:color w:val="000000"/>
                <w:sz w:val="24"/>
                <w:szCs w:val="24"/>
              </w:rPr>
            </w:pPr>
            <w:r w:rsidRPr="0000767E">
              <w:rPr>
                <w:color w:val="000000"/>
                <w:sz w:val="24"/>
                <w:szCs w:val="24"/>
              </w:rPr>
              <w:t>900</w:t>
            </w:r>
          </w:p>
          <w:p w14:paraId="46B241B3" w14:textId="77777777" w:rsidR="00B7579D" w:rsidRPr="0000767E" w:rsidRDefault="00B7579D" w:rsidP="00926A78">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926A78">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926A78">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926A78">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926A78">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926A78">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926A78">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926A78">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926A78">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926A78">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926A78">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042C3426" w:rsidR="00B7579D" w:rsidRPr="0000767E" w:rsidRDefault="00675A2F" w:rsidP="00926A78">
            <w:pPr>
              <w:autoSpaceDE w:val="0"/>
              <w:autoSpaceDN w:val="0"/>
              <w:adjustRightInd w:val="0"/>
              <w:jc w:val="right"/>
              <w:rPr>
                <w:b/>
                <w:color w:val="000000"/>
                <w:sz w:val="24"/>
                <w:szCs w:val="24"/>
              </w:rPr>
            </w:pPr>
            <w:r>
              <w:rPr>
                <w:b/>
                <w:color w:val="000000"/>
                <w:sz w:val="24"/>
                <w:szCs w:val="24"/>
              </w:rPr>
              <w:t>39310,63</w:t>
            </w:r>
          </w:p>
        </w:tc>
      </w:tr>
    </w:tbl>
    <w:p w14:paraId="08D76B85" w14:textId="77777777" w:rsidR="008E26EB" w:rsidRPr="00C1779F" w:rsidRDefault="008E26EB" w:rsidP="00926A78">
      <w:pPr>
        <w:jc w:val="center"/>
        <w:outlineLvl w:val="0"/>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77563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414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3011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1FAD"/>
    <w:rsid w:val="00035B69"/>
    <w:rsid w:val="00036205"/>
    <w:rsid w:val="00043D71"/>
    <w:rsid w:val="000452DA"/>
    <w:rsid w:val="000469E3"/>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3F9"/>
    <w:rsid w:val="00097444"/>
    <w:rsid w:val="000A11BE"/>
    <w:rsid w:val="000A1405"/>
    <w:rsid w:val="000A2D9B"/>
    <w:rsid w:val="000A4D1D"/>
    <w:rsid w:val="000A52D8"/>
    <w:rsid w:val="000A7347"/>
    <w:rsid w:val="000A774B"/>
    <w:rsid w:val="000B3B61"/>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36BBE"/>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603"/>
    <w:rsid w:val="00191FC4"/>
    <w:rsid w:val="001955CB"/>
    <w:rsid w:val="001973E0"/>
    <w:rsid w:val="001A1CB9"/>
    <w:rsid w:val="001B0A8B"/>
    <w:rsid w:val="001B22F4"/>
    <w:rsid w:val="001B419D"/>
    <w:rsid w:val="001B529A"/>
    <w:rsid w:val="001B62DB"/>
    <w:rsid w:val="001B7013"/>
    <w:rsid w:val="001B7C4A"/>
    <w:rsid w:val="001C1ACB"/>
    <w:rsid w:val="001C6F5D"/>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A62A4"/>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158B"/>
    <w:rsid w:val="002F7B4D"/>
    <w:rsid w:val="00305343"/>
    <w:rsid w:val="0031049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31C6"/>
    <w:rsid w:val="003647DB"/>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EE"/>
    <w:rsid w:val="004771FB"/>
    <w:rsid w:val="004776BA"/>
    <w:rsid w:val="004834EE"/>
    <w:rsid w:val="00483503"/>
    <w:rsid w:val="00483A75"/>
    <w:rsid w:val="004858FD"/>
    <w:rsid w:val="00492DEF"/>
    <w:rsid w:val="004930F6"/>
    <w:rsid w:val="0049441C"/>
    <w:rsid w:val="00494A0C"/>
    <w:rsid w:val="00494E7F"/>
    <w:rsid w:val="004A0395"/>
    <w:rsid w:val="004A28D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03468"/>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126"/>
    <w:rsid w:val="005D6485"/>
    <w:rsid w:val="005D78C1"/>
    <w:rsid w:val="005E6820"/>
    <w:rsid w:val="005F3CBE"/>
    <w:rsid w:val="005F63CB"/>
    <w:rsid w:val="005F6CE7"/>
    <w:rsid w:val="006104E7"/>
    <w:rsid w:val="006106A9"/>
    <w:rsid w:val="006129AE"/>
    <w:rsid w:val="0061361E"/>
    <w:rsid w:val="0061378C"/>
    <w:rsid w:val="00615173"/>
    <w:rsid w:val="00615E13"/>
    <w:rsid w:val="00616C6E"/>
    <w:rsid w:val="006170FC"/>
    <w:rsid w:val="00622BEF"/>
    <w:rsid w:val="00623031"/>
    <w:rsid w:val="006238D9"/>
    <w:rsid w:val="00623CC8"/>
    <w:rsid w:val="006254B8"/>
    <w:rsid w:val="00625567"/>
    <w:rsid w:val="00625B6C"/>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75A2F"/>
    <w:rsid w:val="00683C94"/>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049D"/>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4310"/>
    <w:rsid w:val="007F5EB2"/>
    <w:rsid w:val="007F76C9"/>
    <w:rsid w:val="0080115B"/>
    <w:rsid w:val="008036A1"/>
    <w:rsid w:val="0080544D"/>
    <w:rsid w:val="00810211"/>
    <w:rsid w:val="0081153C"/>
    <w:rsid w:val="00814430"/>
    <w:rsid w:val="00814B76"/>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B63F4"/>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51E6"/>
    <w:rsid w:val="00916600"/>
    <w:rsid w:val="009168E4"/>
    <w:rsid w:val="009170B6"/>
    <w:rsid w:val="009239AA"/>
    <w:rsid w:val="0092491A"/>
    <w:rsid w:val="00926A78"/>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C78AF"/>
    <w:rsid w:val="009D1D76"/>
    <w:rsid w:val="009D4F74"/>
    <w:rsid w:val="009D63BA"/>
    <w:rsid w:val="009D6C5B"/>
    <w:rsid w:val="009E2EFA"/>
    <w:rsid w:val="009F0DA9"/>
    <w:rsid w:val="009F22DF"/>
    <w:rsid w:val="009F3627"/>
    <w:rsid w:val="00A02FFE"/>
    <w:rsid w:val="00A030E6"/>
    <w:rsid w:val="00A052F4"/>
    <w:rsid w:val="00A066F5"/>
    <w:rsid w:val="00A106EB"/>
    <w:rsid w:val="00A12C5D"/>
    <w:rsid w:val="00A140D7"/>
    <w:rsid w:val="00A2045A"/>
    <w:rsid w:val="00A26ADD"/>
    <w:rsid w:val="00A31D06"/>
    <w:rsid w:val="00A35EF2"/>
    <w:rsid w:val="00A35F34"/>
    <w:rsid w:val="00A44504"/>
    <w:rsid w:val="00A46A93"/>
    <w:rsid w:val="00A46F73"/>
    <w:rsid w:val="00A55B88"/>
    <w:rsid w:val="00A55EA2"/>
    <w:rsid w:val="00A5700E"/>
    <w:rsid w:val="00A615EB"/>
    <w:rsid w:val="00A61735"/>
    <w:rsid w:val="00A642A6"/>
    <w:rsid w:val="00A66003"/>
    <w:rsid w:val="00A76BEE"/>
    <w:rsid w:val="00A8198B"/>
    <w:rsid w:val="00A832EB"/>
    <w:rsid w:val="00A84FCC"/>
    <w:rsid w:val="00A87383"/>
    <w:rsid w:val="00A91D96"/>
    <w:rsid w:val="00A922AE"/>
    <w:rsid w:val="00A96048"/>
    <w:rsid w:val="00AA7592"/>
    <w:rsid w:val="00AB1D40"/>
    <w:rsid w:val="00AB5859"/>
    <w:rsid w:val="00AC2903"/>
    <w:rsid w:val="00AC2A73"/>
    <w:rsid w:val="00AC2E0F"/>
    <w:rsid w:val="00AC2E93"/>
    <w:rsid w:val="00AC69A1"/>
    <w:rsid w:val="00AC7027"/>
    <w:rsid w:val="00AD4F9C"/>
    <w:rsid w:val="00AE0033"/>
    <w:rsid w:val="00AE134A"/>
    <w:rsid w:val="00AE2DC0"/>
    <w:rsid w:val="00AE7D77"/>
    <w:rsid w:val="00AF190F"/>
    <w:rsid w:val="00B00A95"/>
    <w:rsid w:val="00B02AD5"/>
    <w:rsid w:val="00B058BB"/>
    <w:rsid w:val="00B06A1F"/>
    <w:rsid w:val="00B07325"/>
    <w:rsid w:val="00B107F8"/>
    <w:rsid w:val="00B12E73"/>
    <w:rsid w:val="00B14280"/>
    <w:rsid w:val="00B15A30"/>
    <w:rsid w:val="00B16FAD"/>
    <w:rsid w:val="00B20EF8"/>
    <w:rsid w:val="00B31116"/>
    <w:rsid w:val="00B327DD"/>
    <w:rsid w:val="00B330C9"/>
    <w:rsid w:val="00B3708F"/>
    <w:rsid w:val="00B41AA1"/>
    <w:rsid w:val="00B46CCE"/>
    <w:rsid w:val="00B607D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07B15"/>
    <w:rsid w:val="00C11B30"/>
    <w:rsid w:val="00C14C48"/>
    <w:rsid w:val="00C1779F"/>
    <w:rsid w:val="00C26891"/>
    <w:rsid w:val="00C2797C"/>
    <w:rsid w:val="00C30958"/>
    <w:rsid w:val="00C32327"/>
    <w:rsid w:val="00C3383C"/>
    <w:rsid w:val="00C33D90"/>
    <w:rsid w:val="00C35EDD"/>
    <w:rsid w:val="00C363C4"/>
    <w:rsid w:val="00C3743D"/>
    <w:rsid w:val="00C4235D"/>
    <w:rsid w:val="00C4440D"/>
    <w:rsid w:val="00C55064"/>
    <w:rsid w:val="00C570C6"/>
    <w:rsid w:val="00C61B46"/>
    <w:rsid w:val="00C623C5"/>
    <w:rsid w:val="00C62F75"/>
    <w:rsid w:val="00C67E90"/>
    <w:rsid w:val="00C71304"/>
    <w:rsid w:val="00C7156F"/>
    <w:rsid w:val="00C77506"/>
    <w:rsid w:val="00C81036"/>
    <w:rsid w:val="00C8479F"/>
    <w:rsid w:val="00C95168"/>
    <w:rsid w:val="00C9522F"/>
    <w:rsid w:val="00CA254F"/>
    <w:rsid w:val="00CA4EED"/>
    <w:rsid w:val="00CA5445"/>
    <w:rsid w:val="00CA64EF"/>
    <w:rsid w:val="00CA6649"/>
    <w:rsid w:val="00CA6A69"/>
    <w:rsid w:val="00CB0D50"/>
    <w:rsid w:val="00CB2C1D"/>
    <w:rsid w:val="00CB7C5D"/>
    <w:rsid w:val="00CC0DC6"/>
    <w:rsid w:val="00CC11FC"/>
    <w:rsid w:val="00CC2F72"/>
    <w:rsid w:val="00CC598A"/>
    <w:rsid w:val="00CC5F69"/>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136E"/>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AC"/>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03D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06EE8"/>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57959"/>
    <w:rsid w:val="00F641C1"/>
    <w:rsid w:val="00F653B6"/>
    <w:rsid w:val="00F70E21"/>
    <w:rsid w:val="00F750D5"/>
    <w:rsid w:val="00F77172"/>
    <w:rsid w:val="00F8586D"/>
    <w:rsid w:val="00F86A5F"/>
    <w:rsid w:val="00F90F3A"/>
    <w:rsid w:val="00F91FBE"/>
    <w:rsid w:val="00F948C4"/>
    <w:rsid w:val="00F959A7"/>
    <w:rsid w:val="00F96B57"/>
    <w:rsid w:val="00F97B34"/>
    <w:rsid w:val="00FA0DFA"/>
    <w:rsid w:val="00FA338A"/>
    <w:rsid w:val="00FA3B4F"/>
    <w:rsid w:val="00FA5EB8"/>
    <w:rsid w:val="00FA6405"/>
    <w:rsid w:val="00FA6DF2"/>
    <w:rsid w:val="00FB1C2F"/>
    <w:rsid w:val="00FB222D"/>
    <w:rsid w:val="00FB44D2"/>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docId w15:val="{D5394EED-78C6-4E95-8C57-FBE90C6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522F-DC1E-406E-BF51-900B484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13866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2</cp:revision>
  <cp:lastPrinted>2022-06-17T09:50:00Z</cp:lastPrinted>
  <dcterms:created xsi:type="dcterms:W3CDTF">2022-06-20T12:02:00Z</dcterms:created>
  <dcterms:modified xsi:type="dcterms:W3CDTF">2022-06-20T12:02:00Z</dcterms:modified>
</cp:coreProperties>
</file>